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“粤易色彩”动漫作品展示活动方案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一、参展对象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Lines="0" w:beforeAutospacing="0" w:afterLines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全省普通高校全日制在校学生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二、报送数量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由各高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统一报送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每校限报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漫画和动画短片各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作品分为漫画和动画短片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2种类型，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围绕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党史、新中国史、改革开放史、社会主义发展史学习”进行创作，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主题鲜明，思想积极健康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漫画要具有夸张、象征、比喻等特有艺术风格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动画短片建议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学校易班吉祥物为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主角进行创作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（二）格式要求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outlineLvl w:val="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漫画作品为四格漫画（以四个画面分格来完成一个小故事或一个创意的表现形式）或单幅插画。画稿要求基于A4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尺寸（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210mm×297mm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纸张创作的作品，画稿四周请保留各2cm空白，要求画面清晰、标明页数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基于计算机或移动设备的新媒体作品，应符合手机动漫行业标准等规范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提交电子图片为JPEG:RGB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格式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，分辨率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100DPI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要求画面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清晰完整，与作品的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色彩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一致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。动画短片为AVI、MOV、MP4格式，分辨率不小于1920px×1080px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，提倡标注字幕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，时长小于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10分钟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（三）其他要求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每项作品可填报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指导教师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作品作者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四、报送要求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此项活动由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广东轻工职业技术学院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承办。各高校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对参展作品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审核，对作品的立场观点、原创性进行把关，往届参赛作品或与往届参赛作品创意雷同的不得再参赛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表、汇总表及作品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电子版存储入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U盘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日前寄送至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广东轻工职业技术学院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学生处（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广州市海珠区新港西路152号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广东轻工职业技术学院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大院东校区大礼堂东侧二楼201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，邮编：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10300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，联系人：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雷哲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61239108，邮箱：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1041138229@qq.com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“粤易色彩”动漫作品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beforeLines="0" w:afterLines="0" w:line="560" w:lineRule="exact"/>
        <w:ind w:firstLine="720" w:firstLineChars="20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（请在所选类别前划“√”，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选一）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漫画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2.（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动画短片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 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  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“粤易色彩”动漫作品汇总表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1962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3476A"/>
    <w:rsid w:val="0C174287"/>
    <w:rsid w:val="7B5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2021-06-04T08:10:00Z</dcterms:created>
  <dc:creator>阿诺</dc:creator>
  <cp:lastModifiedBy>徐文娟</cp:lastModifiedBy>
  <dcterms:modified xsi:type="dcterms:W3CDTF">2021-06-07T09:20:36Z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AB9EE2AB8A00494486B80D1953895AFC</vt:lpwstr>
  </property>
</Properties>
</file>